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F0E" w:rsidRDefault="00F35F0E" w:rsidP="00501EB7">
      <w:pPr>
        <w:autoSpaceDE w:val="0"/>
        <w:autoSpaceDN w:val="0"/>
        <w:adjustRightInd w:val="0"/>
        <w:jc w:val="center"/>
        <w:rPr>
          <w:rFonts w:ascii="TimesNewRomanPS-BoldMT" w:eastAsia="Times New Roman" w:hAnsi="TimesNewRomanPS-BoldMT" w:cs="TimesNewRomanPS-BoldMT"/>
          <w:b/>
          <w:bCs/>
          <w:sz w:val="20"/>
          <w:szCs w:val="20"/>
        </w:rPr>
      </w:pPr>
      <w:r w:rsidRPr="00FD2026">
        <w:rPr>
          <w:noProof/>
          <w:sz w:val="20"/>
        </w:rPr>
        <w:drawing>
          <wp:inline distT="0" distB="0" distL="0" distR="0">
            <wp:extent cx="541020" cy="59245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92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EB7" w:rsidRPr="00772FCF" w:rsidRDefault="00501EB7" w:rsidP="00501EB7">
      <w:pPr>
        <w:autoSpaceDE w:val="0"/>
        <w:autoSpaceDN w:val="0"/>
        <w:adjustRightInd w:val="0"/>
        <w:jc w:val="center"/>
        <w:rPr>
          <w:rFonts w:ascii="TimesNewRomanPS-BoldMT" w:eastAsia="Times New Roman" w:hAnsi="TimesNewRomanPS-BoldMT" w:cs="TimesNewRomanPS-BoldMT"/>
          <w:b/>
          <w:bCs/>
          <w:sz w:val="13"/>
          <w:szCs w:val="13"/>
        </w:rPr>
      </w:pPr>
      <w:r w:rsidRPr="00772FCF">
        <w:rPr>
          <w:rFonts w:ascii="TimesNewRomanPS-BoldMT" w:eastAsia="Times New Roman" w:hAnsi="TimesNewRomanPS-BoldMT" w:cs="TimesNewRomanPS-BoldMT"/>
          <w:b/>
          <w:bCs/>
          <w:sz w:val="20"/>
          <w:szCs w:val="20"/>
        </w:rPr>
        <w:t>M</w:t>
      </w:r>
      <w:r w:rsidRPr="00772FCF">
        <w:rPr>
          <w:rFonts w:ascii="TimesNewRomanPS-BoldMT" w:eastAsia="Times New Roman" w:hAnsi="TimesNewRomanPS-BoldMT" w:cs="TimesNewRomanPS-BoldMT"/>
          <w:b/>
          <w:bCs/>
          <w:sz w:val="13"/>
          <w:szCs w:val="13"/>
        </w:rPr>
        <w:t xml:space="preserve">INISTÉRIO DO </w:t>
      </w:r>
      <w:r w:rsidRPr="00772FCF">
        <w:rPr>
          <w:rFonts w:ascii="TimesNewRomanPS-BoldMT" w:eastAsia="Times New Roman" w:hAnsi="TimesNewRomanPS-BoldMT" w:cs="TimesNewRomanPS-BoldMT"/>
          <w:b/>
          <w:bCs/>
          <w:sz w:val="20"/>
          <w:szCs w:val="20"/>
        </w:rPr>
        <w:t>M</w:t>
      </w:r>
      <w:r w:rsidRPr="00772FCF">
        <w:rPr>
          <w:rFonts w:ascii="TimesNewRomanPS-BoldMT" w:eastAsia="Times New Roman" w:hAnsi="TimesNewRomanPS-BoldMT" w:cs="TimesNewRomanPS-BoldMT"/>
          <w:b/>
          <w:bCs/>
          <w:sz w:val="13"/>
          <w:szCs w:val="13"/>
        </w:rPr>
        <w:t xml:space="preserve">EIO </w:t>
      </w:r>
      <w:r w:rsidRPr="00772FCF">
        <w:rPr>
          <w:rFonts w:ascii="TimesNewRomanPS-BoldMT" w:eastAsia="Times New Roman" w:hAnsi="TimesNewRomanPS-BoldMT" w:cs="TimesNewRomanPS-BoldMT"/>
          <w:b/>
          <w:bCs/>
          <w:sz w:val="20"/>
          <w:szCs w:val="20"/>
        </w:rPr>
        <w:t>A</w:t>
      </w:r>
      <w:r w:rsidRPr="00772FCF">
        <w:rPr>
          <w:rFonts w:ascii="TimesNewRomanPS-BoldMT" w:eastAsia="Times New Roman" w:hAnsi="TimesNewRomanPS-BoldMT" w:cs="TimesNewRomanPS-BoldMT"/>
          <w:b/>
          <w:bCs/>
          <w:sz w:val="13"/>
          <w:szCs w:val="13"/>
        </w:rPr>
        <w:t>MBIENTE</w:t>
      </w:r>
    </w:p>
    <w:p w:rsidR="00501EB7" w:rsidRPr="00772FCF" w:rsidRDefault="00501EB7" w:rsidP="00501EB7">
      <w:pPr>
        <w:autoSpaceDE w:val="0"/>
        <w:autoSpaceDN w:val="0"/>
        <w:adjustRightInd w:val="0"/>
        <w:jc w:val="center"/>
        <w:rPr>
          <w:rFonts w:ascii="TimesNewRomanPS-BoldMT" w:eastAsia="Times New Roman" w:hAnsi="TimesNewRomanPS-BoldMT" w:cs="TimesNewRomanPS-BoldMT"/>
          <w:b/>
          <w:bCs/>
          <w:sz w:val="13"/>
          <w:szCs w:val="13"/>
        </w:rPr>
      </w:pPr>
      <w:r w:rsidRPr="00772FCF">
        <w:rPr>
          <w:rFonts w:ascii="TimesNewRomanPS-BoldMT" w:eastAsia="Times New Roman" w:hAnsi="TimesNewRomanPS-BoldMT" w:cs="TimesNewRomanPS-BoldMT"/>
          <w:b/>
          <w:bCs/>
          <w:sz w:val="20"/>
          <w:szCs w:val="20"/>
        </w:rPr>
        <w:t>C</w:t>
      </w:r>
      <w:r w:rsidRPr="00772FCF">
        <w:rPr>
          <w:rFonts w:ascii="TimesNewRomanPS-BoldMT" w:eastAsia="Times New Roman" w:hAnsi="TimesNewRomanPS-BoldMT" w:cs="TimesNewRomanPS-BoldMT"/>
          <w:b/>
          <w:bCs/>
          <w:sz w:val="13"/>
          <w:szCs w:val="13"/>
        </w:rPr>
        <w:t xml:space="preserve">ONSELHO </w:t>
      </w:r>
      <w:r w:rsidRPr="00772FCF">
        <w:rPr>
          <w:rFonts w:ascii="TimesNewRomanPS-BoldMT" w:eastAsia="Times New Roman" w:hAnsi="TimesNewRomanPS-BoldMT" w:cs="TimesNewRomanPS-BoldMT"/>
          <w:b/>
          <w:bCs/>
          <w:sz w:val="20"/>
          <w:szCs w:val="20"/>
        </w:rPr>
        <w:t>N</w:t>
      </w:r>
      <w:r w:rsidRPr="00772FCF">
        <w:rPr>
          <w:rFonts w:ascii="TimesNewRomanPS-BoldMT" w:eastAsia="Times New Roman" w:hAnsi="TimesNewRomanPS-BoldMT" w:cs="TimesNewRomanPS-BoldMT"/>
          <w:b/>
          <w:bCs/>
          <w:sz w:val="13"/>
          <w:szCs w:val="13"/>
        </w:rPr>
        <w:t xml:space="preserve">ACIONAL DE </w:t>
      </w:r>
      <w:r w:rsidRPr="00772FCF">
        <w:rPr>
          <w:rFonts w:ascii="TimesNewRomanPS-BoldMT" w:eastAsia="Times New Roman" w:hAnsi="TimesNewRomanPS-BoldMT" w:cs="TimesNewRomanPS-BoldMT"/>
          <w:b/>
          <w:bCs/>
          <w:sz w:val="20"/>
          <w:szCs w:val="20"/>
        </w:rPr>
        <w:t>R</w:t>
      </w:r>
      <w:r w:rsidRPr="00772FCF">
        <w:rPr>
          <w:rFonts w:ascii="TimesNewRomanPS-BoldMT" w:eastAsia="Times New Roman" w:hAnsi="TimesNewRomanPS-BoldMT" w:cs="TimesNewRomanPS-BoldMT"/>
          <w:b/>
          <w:bCs/>
          <w:sz w:val="13"/>
          <w:szCs w:val="13"/>
        </w:rPr>
        <w:t xml:space="preserve">ECURSOS </w:t>
      </w:r>
      <w:r w:rsidRPr="00772FCF">
        <w:rPr>
          <w:rFonts w:ascii="TimesNewRomanPS-BoldMT" w:eastAsia="Times New Roman" w:hAnsi="TimesNewRomanPS-BoldMT" w:cs="TimesNewRomanPS-BoldMT"/>
          <w:b/>
          <w:bCs/>
          <w:sz w:val="20"/>
          <w:szCs w:val="20"/>
        </w:rPr>
        <w:t>H</w:t>
      </w:r>
      <w:r w:rsidRPr="00772FCF">
        <w:rPr>
          <w:rFonts w:ascii="TimesNewRomanPS-BoldMT" w:eastAsia="Times New Roman" w:hAnsi="TimesNewRomanPS-BoldMT" w:cs="TimesNewRomanPS-BoldMT"/>
          <w:b/>
          <w:bCs/>
          <w:sz w:val="13"/>
          <w:szCs w:val="13"/>
        </w:rPr>
        <w:t>ÍDRICOS</w:t>
      </w:r>
    </w:p>
    <w:p w:rsidR="00501EB7" w:rsidRPr="000E721C" w:rsidRDefault="00501EB7" w:rsidP="00501EB7">
      <w:pPr>
        <w:autoSpaceDE w:val="0"/>
        <w:autoSpaceDN w:val="0"/>
        <w:adjustRightInd w:val="0"/>
        <w:jc w:val="center"/>
        <w:rPr>
          <w:rFonts w:ascii="TimesNewRomanPS-BoldMT" w:eastAsia="Times New Roman" w:hAnsi="TimesNewRomanPS-BoldMT" w:cs="TimesNewRomanPS-BoldMT"/>
          <w:b/>
          <w:bCs/>
        </w:rPr>
      </w:pPr>
    </w:p>
    <w:p w:rsidR="00501EB7" w:rsidRDefault="00501EB7" w:rsidP="00501EB7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</w:rPr>
      </w:pPr>
      <w:r w:rsidRPr="000E721C">
        <w:rPr>
          <w:rFonts w:ascii="Arial" w:eastAsia="Times New Roman" w:hAnsi="Arial" w:cs="Arial"/>
          <w:b/>
          <w:bCs/>
          <w:color w:val="FF0000"/>
        </w:rPr>
        <w:t>MINUTA</w:t>
      </w:r>
      <w:r w:rsidRPr="000E721C">
        <w:rPr>
          <w:rFonts w:ascii="Arial" w:eastAsia="Times New Roman" w:hAnsi="Arial" w:cs="Arial"/>
          <w:b/>
          <w:bCs/>
        </w:rPr>
        <w:t xml:space="preserve"> DE RESOLUÇÃO C</w:t>
      </w:r>
      <w:r w:rsidR="00A307F4" w:rsidRPr="000E721C">
        <w:rPr>
          <w:rFonts w:ascii="Arial" w:eastAsia="Times New Roman" w:hAnsi="Arial" w:cs="Arial"/>
          <w:b/>
          <w:bCs/>
        </w:rPr>
        <w:t>NRH Nº XX, DE XX DE XXXX DE 2017</w:t>
      </w:r>
    </w:p>
    <w:p w:rsidR="00326261" w:rsidRDefault="00326261" w:rsidP="00501EB7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</w:rPr>
      </w:pPr>
    </w:p>
    <w:p w:rsidR="00326261" w:rsidRPr="00326261" w:rsidRDefault="00326261" w:rsidP="00326261">
      <w:pPr>
        <w:tabs>
          <w:tab w:val="left" w:pos="0"/>
        </w:tabs>
        <w:autoSpaceDE w:val="0"/>
        <w:spacing w:after="120" w:line="240" w:lineRule="exact"/>
        <w:ind w:right="425"/>
        <w:jc w:val="center"/>
        <w:rPr>
          <w:rFonts w:ascii="Calibri" w:hAnsi="Calibri"/>
          <w:sz w:val="22"/>
          <w:szCs w:val="22"/>
          <w:lang w:eastAsia="en-US"/>
        </w:rPr>
      </w:pPr>
      <w:r w:rsidRPr="00326261">
        <w:rPr>
          <w:rFonts w:ascii="Calibri" w:hAnsi="Calibri"/>
          <w:i/>
          <w:sz w:val="20"/>
          <w:szCs w:val="20"/>
          <w:lang w:eastAsia="en-US"/>
        </w:rPr>
        <w:t>(CTCOB 96ª REUNIÃO)</w:t>
      </w:r>
    </w:p>
    <w:p w:rsidR="00501EB7" w:rsidRPr="00772FCF" w:rsidRDefault="00501EB7" w:rsidP="00501EB7">
      <w:pPr>
        <w:autoSpaceDE w:val="0"/>
        <w:autoSpaceDN w:val="0"/>
        <w:adjustRightInd w:val="0"/>
        <w:jc w:val="center"/>
        <w:rPr>
          <w:rFonts w:ascii="TimesNewRomanPS-ItalicMT" w:eastAsia="Times New Roman" w:hAnsi="TimesNewRomanPS-ItalicMT" w:cs="TimesNewRomanPS-ItalicMT"/>
          <w:i/>
          <w:iCs/>
          <w:sz w:val="20"/>
          <w:szCs w:val="20"/>
        </w:rPr>
      </w:pPr>
    </w:p>
    <w:p w:rsidR="00501EB7" w:rsidRPr="000E721C" w:rsidRDefault="00501EB7" w:rsidP="00501EB7">
      <w:pPr>
        <w:autoSpaceDE w:val="0"/>
        <w:autoSpaceDN w:val="0"/>
        <w:adjustRightInd w:val="0"/>
        <w:ind w:left="3402"/>
        <w:jc w:val="both"/>
        <w:rPr>
          <w:rFonts w:eastAsia="Times New Roman"/>
        </w:rPr>
      </w:pPr>
      <w:r w:rsidRPr="000E721C">
        <w:rPr>
          <w:rFonts w:eastAsia="Times New Roman"/>
        </w:rPr>
        <w:t xml:space="preserve">Define os valores a serem cobrados pelo uso de recursos hídricos de domínio da União </w:t>
      </w:r>
      <w:r w:rsidR="000539C7" w:rsidRPr="000E721C">
        <w:rPr>
          <w:rFonts w:eastAsia="Times New Roman"/>
        </w:rPr>
        <w:t>inseridos em</w:t>
      </w:r>
      <w:r w:rsidR="0038015F" w:rsidRPr="000E721C">
        <w:rPr>
          <w:rFonts w:eastAsia="Times New Roman"/>
        </w:rPr>
        <w:t xml:space="preserve"> unidades estaduais de gerenciamento de recursos hídricos</w:t>
      </w:r>
      <w:r w:rsidR="000539C7" w:rsidRPr="000E721C">
        <w:rPr>
          <w:rFonts w:eastAsia="Times New Roman"/>
        </w:rPr>
        <w:t>.</w:t>
      </w:r>
    </w:p>
    <w:p w:rsidR="00501EB7" w:rsidRPr="00772FCF" w:rsidRDefault="00501EB7" w:rsidP="00501EB7">
      <w:pPr>
        <w:autoSpaceDE w:val="0"/>
        <w:autoSpaceDN w:val="0"/>
        <w:adjustRightInd w:val="0"/>
        <w:jc w:val="both"/>
        <w:rPr>
          <w:rFonts w:ascii="TimesNewRomanPSMT" w:eastAsia="Times New Roman" w:hAnsi="TimesNewRomanPSMT" w:cs="TimesNewRomanPSMT"/>
        </w:rPr>
      </w:pP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0E721C">
        <w:rPr>
          <w:rFonts w:eastAsia="Times New Roman"/>
        </w:rPr>
        <w:t xml:space="preserve">O </w:t>
      </w:r>
      <w:r w:rsidRPr="000E721C">
        <w:rPr>
          <w:rFonts w:eastAsia="Times New Roman"/>
          <w:b/>
          <w:bCs/>
        </w:rPr>
        <w:t>CONSELHO NACIONAL DE RECURSOS HÍDRICOS - CNRH</w:t>
      </w:r>
      <w:r w:rsidRPr="000E721C">
        <w:rPr>
          <w:rFonts w:eastAsia="Times New Roman"/>
        </w:rPr>
        <w:t>, no uso das competências que lhe são conferidas pelas Leis n</w:t>
      </w:r>
      <w:r w:rsidRPr="000E721C">
        <w:rPr>
          <w:rFonts w:eastAsia="Times New Roman"/>
          <w:vertAlign w:val="superscript"/>
        </w:rPr>
        <w:t>os</w:t>
      </w:r>
      <w:r w:rsidRPr="000E721C">
        <w:rPr>
          <w:rFonts w:eastAsia="Times New Roman"/>
        </w:rPr>
        <w:t xml:space="preserve"> 9.433, de 8 de janeiro de 1997, 9.984, de 17 de julho de 2000, e 12.334, de 20 de setembro de 2010, e tendo em vista o disposto no seu Regimento Interno, anexo à Portaria nº 437, de 8 de novembro de 2013, e</w:t>
      </w: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bookmarkStart w:id="0" w:name="_GoBack"/>
      <w:bookmarkEnd w:id="0"/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0E721C">
        <w:rPr>
          <w:rFonts w:eastAsia="Times New Roman"/>
        </w:rPr>
        <w:t>Considerando a diretriz geral de ação para implementação da Política Nacional de Recursos Hídricos de adequação da gestão de recursos hídricos às diversidades físicas, bióticas, demográficas, econômicas, sociais e culturais das diversas regiões do País;</w:t>
      </w: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0E721C">
        <w:rPr>
          <w:rFonts w:eastAsia="Times New Roman"/>
        </w:rPr>
        <w:t>Considerando o art. 4º da Lei nº 9.433, de 1997, que a União articular-se-á com os Estados tendo em vista o gerenciamento dos recursos hídricos de interesse comum;</w:t>
      </w: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0E721C">
        <w:rPr>
          <w:rFonts w:eastAsia="Times New Roman"/>
        </w:rPr>
        <w:t>Considerando a competência do CNRH para estabelecer diretrizes complementares para a implementação da Política Nacional de Recursos Hídricos, aplicação de seus instrumentos e a atuação do Sistema Nacional de Gerenciamento de Recursos Hídricos;</w:t>
      </w: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0E721C">
        <w:rPr>
          <w:rFonts w:eastAsia="Times New Roman"/>
        </w:rPr>
        <w:t>Considerando a competência do CNRH para estabelecer critérios gerais para a cobrança pelo uso de recursos hídricos;</w:t>
      </w: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0E721C">
        <w:rPr>
          <w:rFonts w:eastAsia="Times New Roman"/>
        </w:rPr>
        <w:t>Considerando que compete aos Comitês de Bacia Hidrográfica estabelecer os mecanismos de cobrança pelo uso de recursos hídricos e sugerir os valores a serem cobrados;</w:t>
      </w: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0E721C">
        <w:rPr>
          <w:rFonts w:eastAsia="Times New Roman"/>
        </w:rPr>
        <w:t>Considerando a competência do CNRH para definir os valores a serem cobrados pelo uso de recursos hídricos de domínio da União, com base nos mecanismos e quantitativos sugeridos pelos Comitês de Bacia Hidrográfica;</w:t>
      </w: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0E721C">
        <w:rPr>
          <w:rFonts w:eastAsia="Times New Roman"/>
        </w:rPr>
        <w:t xml:space="preserve">Considerando a Resolução CNRH nº 109, de 13 de abril de 2010, que cria Unidades de Gestão de Recursos Hídricos de Bacias Hidrográficas de rios de domínio da União- </w:t>
      </w:r>
      <w:proofErr w:type="spellStart"/>
      <w:r w:rsidRPr="000E721C">
        <w:rPr>
          <w:rFonts w:eastAsia="Times New Roman"/>
        </w:rPr>
        <w:t>UGRHs</w:t>
      </w:r>
      <w:proofErr w:type="spellEnd"/>
      <w:r w:rsidRPr="000E721C">
        <w:rPr>
          <w:rFonts w:eastAsia="Times New Roman"/>
        </w:rPr>
        <w:t xml:space="preserve"> e estabelece procedimentos complementares para a criação e acompanhamento dos comitês de bacia; e</w:t>
      </w: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0E721C">
        <w:rPr>
          <w:rFonts w:eastAsia="Times New Roman"/>
        </w:rPr>
        <w:t>Considerando a macro diretriz do Plano Nacional de Recursos Hídricos de estabelecer e aperfeiçoar o sistema de cobrança pelo uso de recurso hídricos, adequando as peculiaridades regionais, e de forma negociada, aos comitês, aos órgãos gestores e aos usuários, destinando a aplicação dos recursos à bacia de origem, resolve:</w:t>
      </w: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0E721C">
        <w:rPr>
          <w:rFonts w:eastAsia="Times New Roman"/>
          <w:b/>
        </w:rPr>
        <w:t>Art. 1º</w:t>
      </w:r>
      <w:r w:rsidRPr="000E721C">
        <w:rPr>
          <w:rFonts w:eastAsia="Times New Roman"/>
        </w:rPr>
        <w:t xml:space="preserve"> Definir os valores a serem cobrados pelo uso de recursos hídricos de domínio da União em áreas </w:t>
      </w:r>
      <w:r w:rsidR="000539C7" w:rsidRPr="000E721C">
        <w:rPr>
          <w:rFonts w:eastAsia="Times New Roman"/>
        </w:rPr>
        <w:t>inseridas em</w:t>
      </w:r>
      <w:r w:rsidRPr="000E721C">
        <w:rPr>
          <w:rFonts w:eastAsia="Times New Roman"/>
        </w:rPr>
        <w:t xml:space="preserve"> unidades estaduais de gerenciamento de recursos hídricos.</w:t>
      </w: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0E721C">
        <w:rPr>
          <w:rFonts w:eastAsia="Times New Roman"/>
          <w:b/>
        </w:rPr>
        <w:lastRenderedPageBreak/>
        <w:t>Art. 2º</w:t>
      </w:r>
      <w:r w:rsidRPr="000E721C">
        <w:rPr>
          <w:rFonts w:eastAsia="Times New Roman"/>
        </w:rPr>
        <w:t xml:space="preserve"> Aplicar-se-á para a cobrança pelo uso de recursos hídricos de domínio da União</w:t>
      </w:r>
      <w:r w:rsidR="000539C7" w:rsidRPr="000E721C">
        <w:rPr>
          <w:rFonts w:eastAsia="Times New Roman"/>
        </w:rPr>
        <w:t>,</w:t>
      </w:r>
      <w:r w:rsidRPr="000E721C">
        <w:rPr>
          <w:rFonts w:eastAsia="Times New Roman"/>
        </w:rPr>
        <w:t xml:space="preserve"> em áreas </w:t>
      </w:r>
      <w:r w:rsidR="000539C7" w:rsidRPr="000E721C">
        <w:rPr>
          <w:rFonts w:eastAsia="Times New Roman"/>
        </w:rPr>
        <w:t>inseridas em</w:t>
      </w:r>
      <w:r w:rsidRPr="000E721C">
        <w:rPr>
          <w:rFonts w:eastAsia="Times New Roman"/>
        </w:rPr>
        <w:t xml:space="preserve"> unidades estaduais de gerenciamento de recursos hídricos</w:t>
      </w:r>
      <w:r w:rsidR="000539C7" w:rsidRPr="000E721C">
        <w:rPr>
          <w:rFonts w:eastAsia="Times New Roman"/>
        </w:rPr>
        <w:t>,</w:t>
      </w:r>
      <w:r w:rsidRPr="000E721C">
        <w:rPr>
          <w:rFonts w:eastAsia="Times New Roman"/>
        </w:rPr>
        <w:t xml:space="preserve"> os </w:t>
      </w:r>
      <w:r w:rsidR="000539C7" w:rsidRPr="000E721C">
        <w:rPr>
          <w:rFonts w:eastAsia="Times New Roman"/>
        </w:rPr>
        <w:t xml:space="preserve">mesmos </w:t>
      </w:r>
      <w:r w:rsidRPr="000E721C">
        <w:rPr>
          <w:rFonts w:eastAsia="Times New Roman"/>
        </w:rPr>
        <w:t>mecanismos e valores definidos para a cobrança pelo uso de recursos hídricos de domínio estadual.</w:t>
      </w: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0E721C">
        <w:rPr>
          <w:rFonts w:eastAsia="Times New Roman"/>
          <w:b/>
        </w:rPr>
        <w:t>Art. 3º</w:t>
      </w:r>
      <w:r w:rsidRPr="000E721C">
        <w:rPr>
          <w:rFonts w:eastAsia="Times New Roman"/>
        </w:rPr>
        <w:t xml:space="preserve"> A aplicação dos valores arrecadados com a cobrança pelo uso de recursos hídricos de domínio da União em áreas </w:t>
      </w:r>
      <w:r w:rsidR="000539C7" w:rsidRPr="000E721C">
        <w:rPr>
          <w:rFonts w:eastAsia="Times New Roman"/>
        </w:rPr>
        <w:t>inseridas em</w:t>
      </w:r>
      <w:r w:rsidRPr="000E721C">
        <w:rPr>
          <w:rFonts w:eastAsia="Times New Roman"/>
        </w:rPr>
        <w:t xml:space="preserve"> unidades estaduais de gerenciamento de recursos hídricos será realizada conforme disposto no § 6º do art. 4º da Lei nº 9.984, de 17 de julho de 2000.</w:t>
      </w: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0E721C">
        <w:rPr>
          <w:rFonts w:eastAsia="Times New Roman"/>
          <w:b/>
        </w:rPr>
        <w:t>§ 1º</w:t>
      </w:r>
      <w:r w:rsidRPr="000E721C">
        <w:rPr>
          <w:rFonts w:eastAsia="Times New Roman"/>
        </w:rPr>
        <w:t xml:space="preserve"> A aplicação dos valores arrecadados respeitará a legislação estadual correspondente, conforme o plano de aplicação aprovado pelo respectivo Comitê de Bacia Hidrográfica e os planos de recursos hídricos.</w:t>
      </w: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  <w:b/>
        </w:rPr>
      </w:pP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0E721C">
        <w:rPr>
          <w:rFonts w:eastAsia="Times New Roman"/>
          <w:b/>
        </w:rPr>
        <w:t>§ 2º</w:t>
      </w:r>
      <w:r w:rsidRPr="000E721C">
        <w:rPr>
          <w:rFonts w:eastAsia="Times New Roman"/>
        </w:rPr>
        <w:t xml:space="preserve"> </w:t>
      </w:r>
      <w:r w:rsidR="008F4B14" w:rsidRPr="000E721C">
        <w:rPr>
          <w:rFonts w:eastAsia="Times New Roman"/>
        </w:rPr>
        <w:t>A aplicação dos recursos arrecadados com a cobrança estipulada nessa resolução dar-se-á, prefere</w:t>
      </w:r>
      <w:r w:rsidRPr="000E721C">
        <w:rPr>
          <w:rFonts w:eastAsia="Times New Roman"/>
        </w:rPr>
        <w:t>ncia</w:t>
      </w:r>
      <w:r w:rsidR="008F4B14" w:rsidRPr="000E721C">
        <w:rPr>
          <w:rFonts w:eastAsia="Times New Roman"/>
        </w:rPr>
        <w:t>lmente,</w:t>
      </w:r>
      <w:r w:rsidRPr="000E721C">
        <w:rPr>
          <w:rFonts w:eastAsia="Times New Roman"/>
        </w:rPr>
        <w:t xml:space="preserve"> via agências de água ou entidades delegatárias com atuação na bacia hidrográfica.</w:t>
      </w: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0E721C">
        <w:rPr>
          <w:rFonts w:eastAsia="Times New Roman"/>
          <w:b/>
        </w:rPr>
        <w:t>Art. 4º</w:t>
      </w:r>
      <w:r w:rsidRPr="000E721C">
        <w:rPr>
          <w:rFonts w:eastAsia="Times New Roman"/>
        </w:rPr>
        <w:t xml:space="preserve"> O disposto nesta Resolução aplica-se aos recursos hídricos de domínio da União localizados em áreas </w:t>
      </w:r>
      <w:r w:rsidR="002A69FC" w:rsidRPr="000E721C">
        <w:rPr>
          <w:rFonts w:eastAsia="Times New Roman"/>
        </w:rPr>
        <w:t xml:space="preserve">inseridas em </w:t>
      </w:r>
      <w:r w:rsidRPr="000E721C">
        <w:rPr>
          <w:rFonts w:eastAsia="Times New Roman"/>
        </w:rPr>
        <w:t>unidades estaduais de gerenciamento de recursos hídricos cuja cobrança pelo uso de recursos hídricos de domínio estadual estiver implementada.</w:t>
      </w: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  <w:r w:rsidRPr="000E721C">
        <w:rPr>
          <w:rFonts w:eastAsia="Times New Roman"/>
          <w:b/>
        </w:rPr>
        <w:t>Art. 5º</w:t>
      </w:r>
      <w:r w:rsidRPr="000E721C">
        <w:rPr>
          <w:rFonts w:eastAsia="Times New Roman"/>
        </w:rPr>
        <w:t xml:space="preserve"> A cobrança pelo uso de recursos hídricos de domínio da União em áreas </w:t>
      </w:r>
      <w:r w:rsidR="002A69FC" w:rsidRPr="000E721C">
        <w:rPr>
          <w:rFonts w:eastAsia="Times New Roman"/>
        </w:rPr>
        <w:t>inseridas em</w:t>
      </w:r>
      <w:r w:rsidRPr="000E721C">
        <w:rPr>
          <w:rFonts w:eastAsia="Times New Roman"/>
        </w:rPr>
        <w:t xml:space="preserve"> unidades estaduais de gerenciamento de recursos hídricos terá início após a formalização do instrumento que atenderá ao disposto no § 6º do art. 4º da Lei nº 9.984, de 2000.</w:t>
      </w:r>
    </w:p>
    <w:p w:rsidR="00501EB7" w:rsidRPr="000E721C" w:rsidRDefault="00501EB7" w:rsidP="00501EB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501EB7" w:rsidRPr="000E721C" w:rsidRDefault="00501EB7" w:rsidP="00501EB7">
      <w:pPr>
        <w:autoSpaceDE w:val="0"/>
        <w:autoSpaceDN w:val="0"/>
        <w:adjustRightInd w:val="0"/>
        <w:rPr>
          <w:rFonts w:eastAsia="Times New Roman"/>
        </w:rPr>
      </w:pPr>
      <w:r w:rsidRPr="000E721C">
        <w:rPr>
          <w:rFonts w:eastAsia="Times New Roman"/>
          <w:b/>
        </w:rPr>
        <w:t>Art. 6º</w:t>
      </w:r>
      <w:r w:rsidRPr="000E721C">
        <w:rPr>
          <w:rFonts w:eastAsia="Times New Roman"/>
        </w:rPr>
        <w:t xml:space="preserve"> Esta Resolução entra em vigor na data de sua publicação.</w:t>
      </w:r>
    </w:p>
    <w:p w:rsidR="00501EB7" w:rsidRPr="000E721C" w:rsidRDefault="00501EB7" w:rsidP="00501EB7">
      <w:pPr>
        <w:autoSpaceDE w:val="0"/>
        <w:autoSpaceDN w:val="0"/>
        <w:adjustRightInd w:val="0"/>
        <w:rPr>
          <w:rFonts w:eastAsia="Times New Roman"/>
          <w:bCs/>
        </w:rPr>
      </w:pPr>
    </w:p>
    <w:p w:rsidR="00501EB7" w:rsidRPr="000E721C" w:rsidRDefault="00501EB7" w:rsidP="00501EB7">
      <w:pPr>
        <w:autoSpaceDE w:val="0"/>
        <w:autoSpaceDN w:val="0"/>
        <w:adjustRightInd w:val="0"/>
        <w:rPr>
          <w:rFonts w:eastAsia="Times New Roman"/>
          <w:bCs/>
        </w:rPr>
      </w:pPr>
    </w:p>
    <w:tbl>
      <w:tblPr>
        <w:tblStyle w:val="Tabelacomgrade"/>
        <w:tblW w:w="0" w:type="auto"/>
        <w:tblInd w:w="8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8"/>
        <w:gridCol w:w="4257"/>
      </w:tblGrid>
      <w:tr w:rsidR="00925E27" w:rsidRPr="000E721C" w:rsidTr="00925E27">
        <w:tc>
          <w:tcPr>
            <w:tcW w:w="4814" w:type="dxa"/>
          </w:tcPr>
          <w:p w:rsidR="00925E27" w:rsidRPr="000E721C" w:rsidRDefault="00925E27" w:rsidP="00925E27">
            <w:pPr>
              <w:jc w:val="center"/>
              <w:rPr>
                <w:b/>
              </w:rPr>
            </w:pPr>
            <w:r w:rsidRPr="000E721C">
              <w:rPr>
                <w:b/>
              </w:rPr>
              <w:t>JOSÉ SARNEY FILHO</w:t>
            </w:r>
          </w:p>
          <w:p w:rsidR="00925E27" w:rsidRPr="000E721C" w:rsidRDefault="00925E27" w:rsidP="00925E27">
            <w:pPr>
              <w:jc w:val="center"/>
            </w:pPr>
            <w:r w:rsidRPr="000E721C">
              <w:t>Presidente do Conselho</w:t>
            </w:r>
          </w:p>
          <w:p w:rsidR="00925E27" w:rsidRPr="000E721C" w:rsidRDefault="00925E27" w:rsidP="00501EB7">
            <w:pPr>
              <w:autoSpaceDE w:val="0"/>
              <w:autoSpaceDN w:val="0"/>
              <w:adjustRightInd w:val="0"/>
              <w:ind w:right="-81"/>
              <w:jc w:val="center"/>
            </w:pPr>
          </w:p>
        </w:tc>
        <w:tc>
          <w:tcPr>
            <w:tcW w:w="4815" w:type="dxa"/>
          </w:tcPr>
          <w:p w:rsidR="00925E27" w:rsidRPr="000E721C" w:rsidRDefault="00925E27" w:rsidP="00925E27">
            <w:pPr>
              <w:jc w:val="center"/>
              <w:rPr>
                <w:b/>
              </w:rPr>
            </w:pPr>
            <w:r w:rsidRPr="000E721C">
              <w:rPr>
                <w:b/>
              </w:rPr>
              <w:t>JAIR VIEIRA TANNÚS JUNIOR</w:t>
            </w:r>
          </w:p>
          <w:p w:rsidR="00925E27" w:rsidRPr="000E721C" w:rsidRDefault="00925E27" w:rsidP="00925E27">
            <w:pPr>
              <w:jc w:val="center"/>
            </w:pPr>
            <w:r w:rsidRPr="000E721C">
              <w:t>Secretário Executivo do Conselho</w:t>
            </w:r>
          </w:p>
          <w:p w:rsidR="00925E27" w:rsidRPr="000E721C" w:rsidRDefault="00925E27" w:rsidP="00501EB7">
            <w:pPr>
              <w:autoSpaceDE w:val="0"/>
              <w:autoSpaceDN w:val="0"/>
              <w:adjustRightInd w:val="0"/>
              <w:ind w:right="-81"/>
              <w:jc w:val="center"/>
            </w:pPr>
          </w:p>
        </w:tc>
      </w:tr>
    </w:tbl>
    <w:p w:rsidR="00501EB7" w:rsidRPr="00BF26AD" w:rsidRDefault="00501EB7" w:rsidP="00501EB7">
      <w:pPr>
        <w:autoSpaceDE w:val="0"/>
        <w:autoSpaceDN w:val="0"/>
        <w:adjustRightInd w:val="0"/>
        <w:ind w:left="840" w:right="-81" w:hanging="840"/>
        <w:jc w:val="center"/>
        <w:rPr>
          <w:rFonts w:ascii="Calibri" w:hAnsi="Calibri" w:cs="Calibri"/>
          <w:sz w:val="22"/>
          <w:szCs w:val="22"/>
        </w:rPr>
      </w:pPr>
    </w:p>
    <w:p w:rsidR="00925E27" w:rsidRPr="00925E27" w:rsidRDefault="00925E27" w:rsidP="00925E27"/>
    <w:p w:rsidR="000806F9" w:rsidRDefault="000806F9"/>
    <w:sectPr w:rsidR="000806F9" w:rsidSect="000E721C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309" w:rsidRDefault="00FA4C47">
      <w:r>
        <w:separator/>
      </w:r>
    </w:p>
  </w:endnote>
  <w:endnote w:type="continuationSeparator" w:id="0">
    <w:p w:rsidR="00AF2309" w:rsidRDefault="00FA4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MS Mincho"/>
    <w:panose1 w:val="00000000000000000000"/>
    <w:charset w:val="0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140" w:rsidRDefault="003B420C" w:rsidP="00333140">
    <w:pPr>
      <w:pStyle w:val="Rodap"/>
      <w:framePr w:wrap="around" w:vAnchor="text" w:hAnchor="margin" w:xAlign="right" w:y="1"/>
      <w:rPr>
        <w:rStyle w:val="Nmerodepgina"/>
        <w:rFonts w:eastAsia="Calibri"/>
      </w:rPr>
    </w:pPr>
    <w:r>
      <w:rPr>
        <w:rStyle w:val="Nmerodepgina"/>
        <w:rFonts w:eastAsia="Calibri"/>
      </w:rPr>
      <w:fldChar w:fldCharType="begin"/>
    </w:r>
    <w:r w:rsidR="00F92F5F">
      <w:rPr>
        <w:rStyle w:val="Nmerodepgina"/>
        <w:rFonts w:eastAsia="Calibri"/>
      </w:rPr>
      <w:instrText xml:space="preserve">PAGE  </w:instrText>
    </w:r>
    <w:r>
      <w:rPr>
        <w:rStyle w:val="Nmerodepgina"/>
        <w:rFonts w:eastAsia="Calibri"/>
      </w:rPr>
      <w:fldChar w:fldCharType="end"/>
    </w:r>
  </w:p>
  <w:p w:rsidR="00333140" w:rsidRDefault="00326261" w:rsidP="00333140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140" w:rsidRDefault="00326261" w:rsidP="00333140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309" w:rsidRDefault="00FA4C47">
      <w:r>
        <w:separator/>
      </w:r>
    </w:p>
  </w:footnote>
  <w:footnote w:type="continuationSeparator" w:id="0">
    <w:p w:rsidR="00AF2309" w:rsidRDefault="00FA4C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140" w:rsidRDefault="003B420C">
    <w:pPr>
      <w:pStyle w:val="Cabealho"/>
    </w:pPr>
    <w:r>
      <w:rPr>
        <w:rStyle w:val="Nmerodepgina"/>
        <w:rFonts w:eastAsia="Calibri"/>
      </w:rPr>
      <w:fldChar w:fldCharType="begin"/>
    </w:r>
    <w:r w:rsidR="00F92F5F">
      <w:rPr>
        <w:rStyle w:val="Nmerodepgina"/>
        <w:rFonts w:eastAsia="Calibri"/>
      </w:rPr>
      <w:instrText xml:space="preserve"> NUMPAGES </w:instrText>
    </w:r>
    <w:r>
      <w:rPr>
        <w:rStyle w:val="Nmerodepgina"/>
        <w:rFonts w:eastAsia="Calibri"/>
      </w:rPr>
      <w:fldChar w:fldCharType="separate"/>
    </w:r>
    <w:r w:rsidR="00F92F5F">
      <w:rPr>
        <w:rStyle w:val="Nmerodepgina"/>
        <w:rFonts w:eastAsia="Calibri"/>
        <w:noProof/>
      </w:rPr>
      <w:t>11</w:t>
    </w:r>
    <w:r>
      <w:rPr>
        <w:rStyle w:val="Nmerodepgina"/>
        <w:rFonts w:eastAsia="Calibri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FCF" w:rsidRDefault="00326261" w:rsidP="0075093C">
    <w:pPr>
      <w:jc w:val="center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EB7"/>
    <w:rsid w:val="000539C7"/>
    <w:rsid w:val="000806F9"/>
    <w:rsid w:val="000E721C"/>
    <w:rsid w:val="002A69FC"/>
    <w:rsid w:val="00326261"/>
    <w:rsid w:val="0038015F"/>
    <w:rsid w:val="003B420C"/>
    <w:rsid w:val="00501EB7"/>
    <w:rsid w:val="008F4B14"/>
    <w:rsid w:val="00925E27"/>
    <w:rsid w:val="00A307F4"/>
    <w:rsid w:val="00AF2309"/>
    <w:rsid w:val="00F35F0E"/>
    <w:rsid w:val="00F92F5F"/>
    <w:rsid w:val="00FA4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30A6BD-F449-4787-B0CB-9F2C75EF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1EB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501EB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501EB7"/>
    <w:rPr>
      <w:rFonts w:ascii="Times New Roman" w:eastAsia="Calibri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501EB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01EB7"/>
    <w:rPr>
      <w:rFonts w:ascii="Times New Roman" w:eastAsia="Calibri" w:hAnsi="Times New Roman" w:cs="Times New Roman"/>
      <w:sz w:val="24"/>
      <w:szCs w:val="24"/>
      <w:lang w:eastAsia="pt-BR"/>
    </w:rPr>
  </w:style>
  <w:style w:type="character" w:styleId="Nmerodepgina">
    <w:name w:val="page number"/>
    <w:rsid w:val="00501EB7"/>
    <w:rPr>
      <w:rFonts w:eastAsia="Times New Roman" w:cs="Times New Roman"/>
      <w:sz w:val="22"/>
      <w:szCs w:val="22"/>
      <w:lang w:val="pt-BR"/>
    </w:rPr>
  </w:style>
  <w:style w:type="table" w:styleId="Tabelacomgrade">
    <w:name w:val="Table Grid"/>
    <w:basedOn w:val="Tabelanormal"/>
    <w:uiPriority w:val="59"/>
    <w:rsid w:val="00925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A307F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307F4"/>
    <w:rPr>
      <w:rFonts w:ascii="Tahoma" w:eastAsia="Calibri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659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Livia Soalheiro e Romano</dc:creator>
  <cp:lastModifiedBy>Roseli dos Santos Souza</cp:lastModifiedBy>
  <cp:revision>3</cp:revision>
  <dcterms:created xsi:type="dcterms:W3CDTF">2017-06-12T12:50:00Z</dcterms:created>
  <dcterms:modified xsi:type="dcterms:W3CDTF">2017-06-14T11:59:00Z</dcterms:modified>
</cp:coreProperties>
</file>